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86" w:rsidRDefault="00624586" w:rsidP="00134FA8">
      <w:pPr>
        <w:pStyle w:val="StandardWeb"/>
        <w:spacing w:before="0" w:beforeAutospacing="0" w:after="160" w:afterAutospacing="0"/>
        <w:jc w:val="both"/>
      </w:pPr>
      <w:r>
        <w:rPr>
          <w:rFonts w:ascii="Arial" w:hAnsi="Arial" w:cs="Arial"/>
          <w:color w:val="000000"/>
          <w:sz w:val="22"/>
          <w:szCs w:val="22"/>
        </w:rPr>
        <w:t xml:space="preserve">NASTAVNICE: Tanja </w:t>
      </w:r>
      <w:proofErr w:type="spellStart"/>
      <w:r>
        <w:rPr>
          <w:rFonts w:ascii="Arial" w:hAnsi="Arial" w:cs="Arial"/>
          <w:color w:val="000000"/>
          <w:sz w:val="22"/>
          <w:szCs w:val="22"/>
        </w:rPr>
        <w:t>Baksa</w:t>
      </w:r>
      <w:proofErr w:type="spellEnd"/>
      <w:r>
        <w:rPr>
          <w:rFonts w:ascii="Arial" w:hAnsi="Arial" w:cs="Arial"/>
          <w:color w:val="000000"/>
          <w:sz w:val="22"/>
          <w:szCs w:val="22"/>
        </w:rPr>
        <w:t xml:space="preserve">, Tanja Lilić, Željka </w:t>
      </w:r>
      <w:proofErr w:type="spellStart"/>
      <w:r>
        <w:rPr>
          <w:rFonts w:ascii="Arial" w:hAnsi="Arial" w:cs="Arial"/>
          <w:color w:val="000000"/>
          <w:sz w:val="22"/>
          <w:szCs w:val="22"/>
        </w:rPr>
        <w:t>Ivančok</w:t>
      </w:r>
      <w:proofErr w:type="spellEnd"/>
      <w:r>
        <w:rPr>
          <w:rFonts w:ascii="Arial" w:hAnsi="Arial" w:cs="Arial"/>
          <w:color w:val="000000"/>
          <w:sz w:val="22"/>
          <w:szCs w:val="22"/>
        </w:rPr>
        <w:t xml:space="preserve"> Varga</w:t>
      </w:r>
    </w:p>
    <w:p w:rsidR="00624586" w:rsidRDefault="00624586" w:rsidP="00134FA8">
      <w:pPr>
        <w:pStyle w:val="StandardWeb"/>
        <w:spacing w:before="0" w:beforeAutospacing="0" w:after="160" w:afterAutospacing="0"/>
        <w:jc w:val="both"/>
      </w:pPr>
      <w:r>
        <w:rPr>
          <w:rFonts w:ascii="Arial" w:hAnsi="Arial" w:cs="Arial"/>
          <w:color w:val="000000"/>
          <w:sz w:val="22"/>
          <w:szCs w:val="22"/>
        </w:rPr>
        <w:t>Srednja škola Prelog</w:t>
      </w:r>
    </w:p>
    <w:p w:rsidR="00624586" w:rsidRDefault="00624586" w:rsidP="00134FA8">
      <w:pPr>
        <w:pStyle w:val="StandardWeb"/>
        <w:spacing w:before="0" w:beforeAutospacing="0" w:after="160" w:afterAutospacing="0"/>
        <w:jc w:val="both"/>
      </w:pPr>
      <w:r>
        <w:rPr>
          <w:rFonts w:ascii="Arial" w:hAnsi="Arial" w:cs="Arial"/>
          <w:color w:val="000000"/>
          <w:sz w:val="22"/>
          <w:szCs w:val="22"/>
        </w:rPr>
        <w:t> </w:t>
      </w:r>
    </w:p>
    <w:p w:rsidR="00624586" w:rsidRDefault="00624586" w:rsidP="00134FA8">
      <w:pPr>
        <w:pStyle w:val="StandardWeb"/>
        <w:spacing w:before="0" w:beforeAutospacing="0" w:after="160" w:afterAutospacing="0"/>
        <w:jc w:val="both"/>
      </w:pPr>
      <w:r>
        <w:rPr>
          <w:rFonts w:ascii="Arial" w:hAnsi="Arial" w:cs="Arial"/>
          <w:color w:val="000000"/>
          <w:sz w:val="22"/>
          <w:szCs w:val="22"/>
        </w:rPr>
        <w:t>Sažetak</w:t>
      </w:r>
    </w:p>
    <w:p w:rsidR="00624586" w:rsidRDefault="00624586" w:rsidP="00134FA8">
      <w:pPr>
        <w:pStyle w:val="StandardWeb"/>
        <w:spacing w:before="0" w:beforeAutospacing="0" w:after="160" w:afterAutospacing="0"/>
        <w:jc w:val="both"/>
      </w:pPr>
      <w:r>
        <w:rPr>
          <w:rFonts w:ascii="Arial" w:hAnsi="Arial" w:cs="Arial"/>
          <w:color w:val="000000"/>
          <w:sz w:val="22"/>
          <w:szCs w:val="22"/>
        </w:rPr>
        <w:t>Integrirana se nastava već dugi niz godina primjenjuje u Srednjoj školi Prelog.  U suradnji dviju ili više nastavnica obrađuje se zajednička tema, a u ovom slučaju radi se o idiomima s bojama (crnom, bijelom, plavom i crvenom) na nastavi Hrvatskog jezika, Njemačk</w:t>
      </w:r>
      <w:r w:rsidR="00634D25">
        <w:rPr>
          <w:rFonts w:ascii="Arial" w:hAnsi="Arial" w:cs="Arial"/>
          <w:color w:val="000000"/>
          <w:sz w:val="22"/>
          <w:szCs w:val="22"/>
        </w:rPr>
        <w:t xml:space="preserve">og jezika i </w:t>
      </w:r>
      <w:proofErr w:type="spellStart"/>
      <w:r w:rsidR="00634D25">
        <w:rPr>
          <w:rFonts w:ascii="Arial" w:hAnsi="Arial" w:cs="Arial"/>
          <w:color w:val="000000"/>
          <w:sz w:val="22"/>
          <w:szCs w:val="22"/>
        </w:rPr>
        <w:t>međupredmetnih</w:t>
      </w:r>
      <w:proofErr w:type="spellEnd"/>
      <w:r w:rsidR="00634D25">
        <w:rPr>
          <w:rFonts w:ascii="Arial" w:hAnsi="Arial" w:cs="Arial"/>
          <w:color w:val="000000"/>
          <w:sz w:val="22"/>
          <w:szCs w:val="22"/>
        </w:rPr>
        <w:t xml:space="preserve"> tema (Građanski odgoj i obrazovanje).</w:t>
      </w:r>
      <w:bookmarkStart w:id="0" w:name="_GoBack"/>
      <w:bookmarkEnd w:id="0"/>
      <w:r>
        <w:rPr>
          <w:rFonts w:ascii="Arial" w:hAnsi="Arial" w:cs="Arial"/>
          <w:color w:val="000000"/>
          <w:sz w:val="22"/>
          <w:szCs w:val="22"/>
        </w:rPr>
        <w:t>  Cilj je paralelno usvajanje socioloških koncepata i jezičnih kompetencija na hrvatskom i njemačkom jeziku. U ovom slučaju idiomi s bojama koriste se kao poveznica za istraživanje načina na koji različita društva u kontekstu jezika oblikuju, kategoriziraju i interpretiraju stvarnost.</w:t>
      </w:r>
    </w:p>
    <w:p w:rsidR="00624586" w:rsidRDefault="00624586" w:rsidP="00134FA8">
      <w:pPr>
        <w:pStyle w:val="StandardWeb"/>
        <w:spacing w:before="0" w:beforeAutospacing="0" w:after="160" w:afterAutospacing="0"/>
        <w:jc w:val="both"/>
      </w:pPr>
      <w:r>
        <w:rPr>
          <w:rFonts w:ascii="Arial" w:hAnsi="Arial" w:cs="Arial"/>
          <w:color w:val="000000"/>
          <w:sz w:val="22"/>
          <w:szCs w:val="22"/>
        </w:rPr>
        <w:t> </w:t>
      </w:r>
    </w:p>
    <w:p w:rsidR="00624586" w:rsidRDefault="00624586" w:rsidP="00134FA8">
      <w:pPr>
        <w:pStyle w:val="StandardWeb"/>
        <w:spacing w:before="0" w:beforeAutospacing="0" w:after="160" w:afterAutospacing="0"/>
        <w:jc w:val="both"/>
      </w:pPr>
      <w:r>
        <w:rPr>
          <w:rFonts w:ascii="Arial" w:hAnsi="Arial" w:cs="Arial"/>
          <w:color w:val="000000"/>
          <w:sz w:val="22"/>
          <w:szCs w:val="22"/>
        </w:rPr>
        <w:t>Uvod</w:t>
      </w:r>
    </w:p>
    <w:p w:rsidR="00624586" w:rsidRDefault="00624586" w:rsidP="00134FA8">
      <w:pPr>
        <w:pStyle w:val="StandardWeb"/>
        <w:spacing w:before="0" w:beforeAutospacing="0" w:after="160" w:afterAutospacing="0"/>
        <w:jc w:val="both"/>
      </w:pPr>
      <w:r>
        <w:rPr>
          <w:rFonts w:ascii="Arial" w:hAnsi="Arial" w:cs="Arial"/>
          <w:color w:val="000000"/>
          <w:sz w:val="22"/>
          <w:szCs w:val="22"/>
        </w:rPr>
        <w:t>Preko sadržaja učimo jezik, a učeći jezik usvajamo i nove sadržaje koji se odnose ne samo na činjenično znanje, već i razvoj raznih kompetencija, od raznih vrsta pismenosti do kritičkog mišljenja. Integrirana nastava i CLIL princip neki su od načina kako usmjeriti nastavu na cjelovito učenje, korelacije i interdisciplinarnost te proces učenja i djelovanje, a da se pritom razvijaju pedagoške i životne kompetencije u obliku suradnje, timskog rada i rješavanja, a da se pritom spaja više predmeta (</w:t>
      </w:r>
      <w:proofErr w:type="spellStart"/>
      <w:r>
        <w:rPr>
          <w:rFonts w:ascii="Arial" w:hAnsi="Arial" w:cs="Arial"/>
          <w:color w:val="000000"/>
          <w:sz w:val="22"/>
          <w:szCs w:val="22"/>
        </w:rPr>
        <w:t>Wicke</w:t>
      </w:r>
      <w:proofErr w:type="spellEnd"/>
      <w:r>
        <w:rPr>
          <w:rFonts w:ascii="Arial" w:hAnsi="Arial" w:cs="Arial"/>
          <w:color w:val="000000"/>
          <w:sz w:val="22"/>
          <w:szCs w:val="22"/>
        </w:rPr>
        <w:t xml:space="preserve">, 2014; </w:t>
      </w:r>
      <w:proofErr w:type="spellStart"/>
      <w:r>
        <w:rPr>
          <w:rFonts w:ascii="Arial" w:hAnsi="Arial" w:cs="Arial"/>
          <w:color w:val="000000"/>
          <w:sz w:val="22"/>
          <w:szCs w:val="22"/>
        </w:rPr>
        <w:t>Bunjac</w:t>
      </w:r>
      <w:proofErr w:type="spellEnd"/>
      <w:r>
        <w:rPr>
          <w:rFonts w:ascii="Arial" w:hAnsi="Arial" w:cs="Arial"/>
          <w:color w:val="000000"/>
          <w:sz w:val="22"/>
          <w:szCs w:val="22"/>
        </w:rPr>
        <w:t>, Matijević, 2014).  </w:t>
      </w:r>
    </w:p>
    <w:p w:rsidR="00624586" w:rsidRDefault="00624586" w:rsidP="00134FA8">
      <w:pPr>
        <w:pStyle w:val="StandardWeb"/>
        <w:spacing w:before="0" w:beforeAutospacing="0" w:after="160" w:afterAutospacing="0"/>
        <w:jc w:val="both"/>
      </w:pPr>
      <w:r>
        <w:rPr>
          <w:rFonts w:ascii="Arial" w:hAnsi="Arial" w:cs="Arial"/>
          <w:color w:val="000000"/>
          <w:sz w:val="22"/>
          <w:szCs w:val="22"/>
        </w:rPr>
        <w:t> </w:t>
      </w:r>
    </w:p>
    <w:p w:rsidR="00624586" w:rsidRDefault="00624586" w:rsidP="00134FA8">
      <w:pPr>
        <w:pStyle w:val="StandardWeb"/>
        <w:spacing w:before="0" w:beforeAutospacing="0" w:after="160" w:afterAutospacing="0"/>
        <w:jc w:val="both"/>
      </w:pPr>
      <w:r>
        <w:rPr>
          <w:rFonts w:ascii="Arial" w:hAnsi="Arial" w:cs="Arial"/>
          <w:color w:val="000000"/>
          <w:sz w:val="22"/>
          <w:szCs w:val="22"/>
        </w:rPr>
        <w:t>Integrirana nastava i CLIL</w:t>
      </w:r>
    </w:p>
    <w:p w:rsidR="00624586" w:rsidRDefault="00624586" w:rsidP="00134FA8">
      <w:pPr>
        <w:pStyle w:val="StandardWeb"/>
        <w:spacing w:before="0" w:beforeAutospacing="0" w:after="160" w:afterAutospacing="0"/>
        <w:jc w:val="both"/>
      </w:pPr>
      <w:r>
        <w:rPr>
          <w:rFonts w:ascii="Arial" w:hAnsi="Arial" w:cs="Arial"/>
          <w:color w:val="000000"/>
          <w:sz w:val="22"/>
          <w:szCs w:val="22"/>
        </w:rPr>
        <w:t xml:space="preserve">Ideja cjelovitosti ili integracije nastave tijekom povijesti se tek postupno izgrađivala pa se u nastavnoj teoriji i praksi javljaju različiti pojmovi koji se odnose na isto, primjerice koncentracija, korelacija, skupnost, jedinstvenost, koordiniranost, cjelovitost, integracija (Poljak, 1965.). Danas pojam integracija najčešće podrazumijeva metodički scenarij koji se temelji na međudjelovanju različitih predmeta, a tematski sadržaji jednog predmeta ostvaruju se i u drugim predmetima koji se bave istim ili sličnim sadržajima. Drugim riječima, jedna se zajednička tema proučava u različitim predmetima i s različitih gledišta (usp. </w:t>
      </w:r>
      <w:proofErr w:type="spellStart"/>
      <w:r>
        <w:rPr>
          <w:rFonts w:ascii="Arial" w:hAnsi="Arial" w:cs="Arial"/>
          <w:color w:val="000000"/>
          <w:sz w:val="22"/>
          <w:szCs w:val="22"/>
        </w:rPr>
        <w:t>Skupnjak</w:t>
      </w:r>
      <w:proofErr w:type="spellEnd"/>
      <w:r>
        <w:rPr>
          <w:rFonts w:ascii="Arial" w:hAnsi="Arial" w:cs="Arial"/>
          <w:color w:val="000000"/>
          <w:sz w:val="22"/>
          <w:szCs w:val="22"/>
        </w:rPr>
        <w:t xml:space="preserve">, 2009), kao primjerice integracija Hrvatskog jezika i Povijesti u primjeru Ane </w:t>
      </w:r>
      <w:proofErr w:type="spellStart"/>
      <w:r>
        <w:rPr>
          <w:rFonts w:ascii="Arial" w:hAnsi="Arial" w:cs="Arial"/>
          <w:color w:val="000000"/>
          <w:sz w:val="22"/>
          <w:szCs w:val="22"/>
        </w:rPr>
        <w:t>Kadović</w:t>
      </w:r>
      <w:proofErr w:type="spellEnd"/>
      <w:r>
        <w:rPr>
          <w:rFonts w:ascii="Arial" w:hAnsi="Arial" w:cs="Arial"/>
          <w:color w:val="000000"/>
          <w:sz w:val="22"/>
          <w:szCs w:val="22"/>
        </w:rPr>
        <w:t xml:space="preserve"> (2024).  Dobro osmišljena integrirana nastava treba poštivati zakonitosti učenikovog razvoja, ali i razviti kvalitetnije odnose između nastavnog sadržaja, učenika i učitelja, no treba imati na umu kako se integracija nastave ne smije provoditi radi same integracije, već s didaktičkim i pedagoškim ciljem (Poljak, 2009). Jedan od principa integrirane nastave je i CLIL pristup poučavanju i učenju jezika u kojem strani jezik zamjenjuje materinski. Da </w:t>
      </w:r>
      <w:proofErr w:type="spellStart"/>
      <w:r>
        <w:rPr>
          <w:rFonts w:ascii="Arial" w:hAnsi="Arial" w:cs="Arial"/>
          <w:color w:val="000000"/>
          <w:sz w:val="22"/>
          <w:szCs w:val="22"/>
        </w:rPr>
        <w:t>Coyle</w:t>
      </w:r>
      <w:proofErr w:type="spellEnd"/>
      <w:r>
        <w:rPr>
          <w:rFonts w:ascii="Arial" w:hAnsi="Arial" w:cs="Arial"/>
          <w:color w:val="000000"/>
          <w:sz w:val="22"/>
          <w:szCs w:val="22"/>
        </w:rPr>
        <w:t xml:space="preserve"> (1999) govori o 4C okviru, koji obuhvaća četiri područja: sadržaj, komunikaciju, </w:t>
      </w:r>
      <w:proofErr w:type="spellStart"/>
      <w:r>
        <w:rPr>
          <w:rFonts w:ascii="Arial" w:hAnsi="Arial" w:cs="Arial"/>
          <w:color w:val="000000"/>
          <w:sz w:val="22"/>
          <w:szCs w:val="22"/>
        </w:rPr>
        <w:t>kogniciju</w:t>
      </w:r>
      <w:proofErr w:type="spellEnd"/>
      <w:r>
        <w:rPr>
          <w:rFonts w:ascii="Arial" w:hAnsi="Arial" w:cs="Arial"/>
          <w:color w:val="000000"/>
          <w:sz w:val="22"/>
          <w:szCs w:val="22"/>
        </w:rPr>
        <w:t xml:space="preserve"> i kulturu (</w:t>
      </w:r>
      <w:proofErr w:type="spellStart"/>
      <w:r>
        <w:rPr>
          <w:rFonts w:ascii="Arial" w:hAnsi="Arial" w:cs="Arial"/>
          <w:color w:val="000000"/>
          <w:sz w:val="22"/>
          <w:szCs w:val="22"/>
        </w:rPr>
        <w:t>eng</w:t>
      </w:r>
      <w:proofErr w:type="spellEnd"/>
      <w:r>
        <w:rPr>
          <w:rFonts w:ascii="Arial" w:hAnsi="Arial" w:cs="Arial"/>
          <w:color w:val="000000"/>
          <w:sz w:val="22"/>
          <w:szCs w:val="22"/>
        </w:rPr>
        <w:t xml:space="preserve">. </w:t>
      </w:r>
      <w:proofErr w:type="spellStart"/>
      <w:r>
        <w:rPr>
          <w:rFonts w:ascii="Arial" w:hAnsi="Arial" w:cs="Arial"/>
          <w:color w:val="000000"/>
          <w:sz w:val="22"/>
          <w:szCs w:val="22"/>
        </w:rPr>
        <w:t>content</w:t>
      </w:r>
      <w:proofErr w:type="spellEnd"/>
      <w:r>
        <w:rPr>
          <w:rFonts w:ascii="Arial" w:hAnsi="Arial" w:cs="Arial"/>
          <w:color w:val="000000"/>
          <w:sz w:val="22"/>
          <w:szCs w:val="22"/>
        </w:rPr>
        <w:t xml:space="preserve">, </w:t>
      </w:r>
      <w:proofErr w:type="spellStart"/>
      <w:r>
        <w:rPr>
          <w:rFonts w:ascii="Arial" w:hAnsi="Arial" w:cs="Arial"/>
          <w:color w:val="000000"/>
          <w:sz w:val="22"/>
          <w:szCs w:val="22"/>
        </w:rPr>
        <w:t>communication</w:t>
      </w:r>
      <w:proofErr w:type="spellEnd"/>
      <w:r>
        <w:rPr>
          <w:rFonts w:ascii="Arial" w:hAnsi="Arial" w:cs="Arial"/>
          <w:color w:val="000000"/>
          <w:sz w:val="22"/>
          <w:szCs w:val="22"/>
        </w:rPr>
        <w:t xml:space="preserve">, </w:t>
      </w:r>
      <w:proofErr w:type="spellStart"/>
      <w:r>
        <w:rPr>
          <w:rFonts w:ascii="Arial" w:hAnsi="Arial" w:cs="Arial"/>
          <w:color w:val="000000"/>
          <w:sz w:val="22"/>
          <w:szCs w:val="22"/>
        </w:rPr>
        <w:t>cognition</w:t>
      </w:r>
      <w:proofErr w:type="spellEnd"/>
      <w:r>
        <w:rPr>
          <w:rFonts w:ascii="Arial" w:hAnsi="Arial" w:cs="Arial"/>
          <w:color w:val="000000"/>
          <w:sz w:val="22"/>
          <w:szCs w:val="22"/>
        </w:rPr>
        <w:t xml:space="preserve"> i </w:t>
      </w:r>
      <w:proofErr w:type="spellStart"/>
      <w:r>
        <w:rPr>
          <w:rFonts w:ascii="Arial" w:hAnsi="Arial" w:cs="Arial"/>
          <w:color w:val="000000"/>
          <w:sz w:val="22"/>
          <w:szCs w:val="22"/>
        </w:rPr>
        <w:t>culture</w:t>
      </w:r>
      <w:proofErr w:type="spellEnd"/>
      <w:r>
        <w:rPr>
          <w:rFonts w:ascii="Arial" w:hAnsi="Arial" w:cs="Arial"/>
          <w:color w:val="000000"/>
          <w:sz w:val="22"/>
          <w:szCs w:val="22"/>
        </w:rPr>
        <w:t>). Jezik je prema tom modelu ne samo cilj poučavanja već i sredstvo poučavanja sadržaja. CLIL se dijeli u slabi ili jaki CLIL. Slabi CLIL se prvenstveno odnosi na učenje i poučavanje jezika, a snažni na učenje sadržaja, dok je strani jezik tek sredstvo za poučavanje predmeta odnosno sadržaja (</w:t>
      </w:r>
      <w:proofErr w:type="spellStart"/>
      <w:r>
        <w:rPr>
          <w:rFonts w:ascii="Arial" w:hAnsi="Arial" w:cs="Arial"/>
          <w:color w:val="000000"/>
          <w:sz w:val="22"/>
          <w:szCs w:val="22"/>
        </w:rPr>
        <w:t>Wolf</w:t>
      </w:r>
      <w:proofErr w:type="spellEnd"/>
      <w:r>
        <w:rPr>
          <w:rFonts w:ascii="Arial" w:hAnsi="Arial" w:cs="Arial"/>
          <w:color w:val="000000"/>
          <w:sz w:val="22"/>
          <w:szCs w:val="22"/>
        </w:rPr>
        <w:t xml:space="preserve">, 2007; </w:t>
      </w:r>
      <w:proofErr w:type="spellStart"/>
      <w:r>
        <w:rPr>
          <w:rFonts w:ascii="Arial" w:hAnsi="Arial" w:cs="Arial"/>
          <w:color w:val="000000"/>
          <w:sz w:val="22"/>
          <w:szCs w:val="22"/>
        </w:rPr>
        <w:t>Ball</w:t>
      </w:r>
      <w:proofErr w:type="spellEnd"/>
      <w:r>
        <w:rPr>
          <w:rFonts w:ascii="Arial" w:hAnsi="Arial" w:cs="Arial"/>
          <w:color w:val="000000"/>
          <w:sz w:val="22"/>
          <w:szCs w:val="22"/>
        </w:rPr>
        <w:t xml:space="preserve">, </w:t>
      </w:r>
      <w:proofErr w:type="spellStart"/>
      <w:r>
        <w:rPr>
          <w:rFonts w:ascii="Arial" w:hAnsi="Arial" w:cs="Arial"/>
          <w:color w:val="000000"/>
          <w:sz w:val="22"/>
          <w:szCs w:val="22"/>
        </w:rPr>
        <w:t>Kelly</w:t>
      </w:r>
      <w:proofErr w:type="spellEnd"/>
      <w:r>
        <w:rPr>
          <w:rFonts w:ascii="Arial" w:hAnsi="Arial" w:cs="Arial"/>
          <w:color w:val="000000"/>
          <w:sz w:val="22"/>
          <w:szCs w:val="22"/>
        </w:rPr>
        <w:t xml:space="preserve"> i </w:t>
      </w:r>
      <w:proofErr w:type="spellStart"/>
      <w:r>
        <w:rPr>
          <w:rFonts w:ascii="Arial" w:hAnsi="Arial" w:cs="Arial"/>
          <w:color w:val="000000"/>
          <w:sz w:val="22"/>
          <w:szCs w:val="22"/>
        </w:rPr>
        <w:t>Clegg</w:t>
      </w:r>
      <w:proofErr w:type="spellEnd"/>
      <w:r>
        <w:rPr>
          <w:rFonts w:ascii="Arial" w:hAnsi="Arial" w:cs="Arial"/>
          <w:color w:val="000000"/>
          <w:sz w:val="22"/>
          <w:szCs w:val="22"/>
        </w:rPr>
        <w:t xml:space="preserve"> 2015). Vodopija-</w:t>
      </w:r>
      <w:proofErr w:type="spellStart"/>
      <w:r>
        <w:rPr>
          <w:rFonts w:ascii="Arial" w:hAnsi="Arial" w:cs="Arial"/>
          <w:color w:val="000000"/>
          <w:sz w:val="22"/>
          <w:szCs w:val="22"/>
        </w:rPr>
        <w:t>Krstanović</w:t>
      </w:r>
      <w:proofErr w:type="spellEnd"/>
      <w:r>
        <w:rPr>
          <w:rFonts w:ascii="Arial" w:hAnsi="Arial" w:cs="Arial"/>
          <w:color w:val="000000"/>
          <w:sz w:val="22"/>
          <w:szCs w:val="22"/>
        </w:rPr>
        <w:t xml:space="preserve"> i Badurina (2020) u svom radu govore o prednostima i izazovima primjene CLIL pristupa u hrvatskim školama, gdje kao prednost navodi povećana motivacija učenika. No izazovi s kojima se susrećemo u hrvatskom školstvu su nedostatak materijala te potreba za edukacijom nastavnika. Osim toga autorice naglašavaju važnost sustavne podrške i koordinacije za uspješnu implementaciju integriranog poučavanja sadržaja i stranog jezika, što je izuzetno važno za bilo koji oblik integrirane nastave.</w:t>
      </w:r>
    </w:p>
    <w:p w:rsidR="00624586" w:rsidRDefault="00624586" w:rsidP="00134FA8">
      <w:pPr>
        <w:pStyle w:val="StandardWeb"/>
        <w:spacing w:before="0" w:beforeAutospacing="0" w:after="160" w:afterAutospacing="0"/>
        <w:jc w:val="both"/>
      </w:pPr>
      <w:r>
        <w:rPr>
          <w:rFonts w:ascii="Arial" w:hAnsi="Arial" w:cs="Arial"/>
          <w:b/>
          <w:bCs/>
          <w:color w:val="000000"/>
          <w:sz w:val="22"/>
          <w:szCs w:val="22"/>
        </w:rPr>
        <w:t>Integrirana nastava i CLIL princip na primjeru idioma s bojama</w:t>
      </w:r>
    </w:p>
    <w:p w:rsidR="00624586" w:rsidRDefault="00624586" w:rsidP="00134FA8">
      <w:pPr>
        <w:pStyle w:val="StandardWeb"/>
        <w:spacing w:before="0" w:beforeAutospacing="0" w:after="160" w:afterAutospacing="0"/>
        <w:jc w:val="both"/>
      </w:pPr>
      <w:r>
        <w:rPr>
          <w:rFonts w:ascii="Arial" w:hAnsi="Arial" w:cs="Arial"/>
          <w:color w:val="000000"/>
          <w:sz w:val="22"/>
          <w:szCs w:val="22"/>
        </w:rPr>
        <w:lastRenderedPageBreak/>
        <w:t>U 4.THK razredu u 2 nastavna sata održana je integrirana nastav</w:t>
      </w:r>
      <w:r w:rsidR="00634D25">
        <w:rPr>
          <w:rFonts w:ascii="Arial" w:hAnsi="Arial" w:cs="Arial"/>
          <w:color w:val="000000"/>
          <w:sz w:val="22"/>
          <w:szCs w:val="22"/>
        </w:rPr>
        <w:t>a spajanjem predmeta Građanski odgoj i obrazovanje (</w:t>
      </w:r>
      <w:proofErr w:type="spellStart"/>
      <w:r w:rsidR="00634D25">
        <w:rPr>
          <w:rFonts w:ascii="Arial" w:hAnsi="Arial" w:cs="Arial"/>
          <w:color w:val="000000"/>
          <w:sz w:val="22"/>
          <w:szCs w:val="22"/>
        </w:rPr>
        <w:t>međupredmetne</w:t>
      </w:r>
      <w:proofErr w:type="spellEnd"/>
      <w:r w:rsidR="00634D25">
        <w:rPr>
          <w:rFonts w:ascii="Arial" w:hAnsi="Arial" w:cs="Arial"/>
          <w:color w:val="000000"/>
          <w:sz w:val="22"/>
          <w:szCs w:val="22"/>
        </w:rPr>
        <w:t xml:space="preserve"> teme)</w:t>
      </w:r>
      <w:r>
        <w:rPr>
          <w:rFonts w:ascii="Arial" w:hAnsi="Arial" w:cs="Arial"/>
          <w:color w:val="000000"/>
          <w:sz w:val="22"/>
          <w:szCs w:val="22"/>
        </w:rPr>
        <w:t xml:space="preserve">, Hrvatski jezik i Njemački jezik. Iako su prvotno bila zamišljena 4 nastavna sata, zbog organizacijskih izazova dogovoren je na kraju </w:t>
      </w:r>
      <w:proofErr w:type="spellStart"/>
      <w:r>
        <w:rPr>
          <w:rFonts w:ascii="Arial" w:hAnsi="Arial" w:cs="Arial"/>
          <w:color w:val="000000"/>
          <w:sz w:val="22"/>
          <w:szCs w:val="22"/>
        </w:rPr>
        <w:t>dvosat</w:t>
      </w:r>
      <w:proofErr w:type="spellEnd"/>
      <w:r>
        <w:rPr>
          <w:rFonts w:ascii="Arial" w:hAnsi="Arial" w:cs="Arial"/>
          <w:color w:val="000000"/>
          <w:sz w:val="22"/>
          <w:szCs w:val="22"/>
        </w:rPr>
        <w:t xml:space="preserve"> u prosincu.</w:t>
      </w:r>
    </w:p>
    <w:p w:rsidR="00624586" w:rsidRDefault="00624586" w:rsidP="00134FA8">
      <w:pPr>
        <w:pStyle w:val="StandardWeb"/>
        <w:spacing w:before="0" w:beforeAutospacing="0" w:after="160" w:afterAutospacing="0"/>
        <w:jc w:val="both"/>
      </w:pPr>
      <w:r>
        <w:rPr>
          <w:rFonts w:ascii="Arial" w:hAnsi="Arial" w:cs="Arial"/>
          <w:color w:val="000000"/>
          <w:sz w:val="22"/>
          <w:szCs w:val="22"/>
        </w:rPr>
        <w:t>Odgojno-obrazovni ishodi bili su sljedeći:</w:t>
      </w:r>
    </w:p>
    <w:p w:rsidR="00624586" w:rsidRDefault="00624586" w:rsidP="00134FA8">
      <w:pPr>
        <w:pStyle w:val="StandardWeb"/>
        <w:spacing w:before="0" w:beforeAutospacing="0" w:after="160" w:afterAutospacing="0"/>
        <w:jc w:val="both"/>
      </w:pPr>
      <w:r>
        <w:rPr>
          <w:rFonts w:ascii="Arial" w:hAnsi="Arial" w:cs="Arial"/>
          <w:color w:val="000000"/>
          <w:sz w:val="22"/>
          <w:szCs w:val="22"/>
        </w:rPr>
        <w:t>Objasniti kako društvo i kultura obl</w:t>
      </w:r>
      <w:r w:rsidR="00634D25">
        <w:rPr>
          <w:rFonts w:ascii="Arial" w:hAnsi="Arial" w:cs="Arial"/>
          <w:color w:val="000000"/>
          <w:sz w:val="22"/>
          <w:szCs w:val="22"/>
        </w:rPr>
        <w:t>ikuju značenje boja (Građanski odgoj i obrazovanje</w:t>
      </w:r>
      <w:r>
        <w:rPr>
          <w:rFonts w:ascii="Arial" w:hAnsi="Arial" w:cs="Arial"/>
          <w:color w:val="000000"/>
          <w:sz w:val="22"/>
          <w:szCs w:val="22"/>
        </w:rPr>
        <w:t>),</w:t>
      </w:r>
    </w:p>
    <w:p w:rsidR="00624586" w:rsidRDefault="00624586" w:rsidP="00134FA8">
      <w:pPr>
        <w:pStyle w:val="StandardWeb"/>
        <w:spacing w:before="0" w:beforeAutospacing="0" w:after="160" w:afterAutospacing="0"/>
        <w:jc w:val="both"/>
      </w:pPr>
      <w:r>
        <w:rPr>
          <w:rFonts w:ascii="Arial" w:hAnsi="Arial" w:cs="Arial"/>
          <w:color w:val="000000"/>
          <w:sz w:val="22"/>
          <w:szCs w:val="22"/>
        </w:rPr>
        <w:t>Prepoznati, prevesti i pravilno upotrijebiti njemačke idiome s bojama u odgovarajućem socijalnom kontekstu (Njemački jezik - CLIL).</w:t>
      </w:r>
    </w:p>
    <w:p w:rsidR="00624586" w:rsidRDefault="00624586" w:rsidP="00134FA8">
      <w:pPr>
        <w:pStyle w:val="StandardWeb"/>
        <w:spacing w:before="0" w:beforeAutospacing="0" w:after="160" w:afterAutospacing="0"/>
        <w:jc w:val="both"/>
      </w:pPr>
      <w:r>
        <w:rPr>
          <w:rFonts w:ascii="Arial" w:hAnsi="Arial" w:cs="Arial"/>
          <w:color w:val="000000"/>
          <w:sz w:val="22"/>
          <w:szCs w:val="22"/>
        </w:rPr>
        <w:t>Usporediti frazeološko bogatstvo hrvatskog i njemačkog jezika te uočiti sličnosti i razlike u slikovitom izražavanju (Hrvatski jezik).</w:t>
      </w:r>
    </w:p>
    <w:p w:rsidR="00624586" w:rsidRDefault="00624586" w:rsidP="00134FA8">
      <w:pPr>
        <w:pStyle w:val="StandardWeb"/>
        <w:spacing w:before="0" w:beforeAutospacing="0" w:after="160" w:afterAutospacing="0"/>
        <w:jc w:val="both"/>
      </w:pPr>
      <w:r>
        <w:rPr>
          <w:rFonts w:ascii="Arial" w:hAnsi="Arial" w:cs="Arial"/>
          <w:color w:val="000000"/>
          <w:sz w:val="22"/>
          <w:szCs w:val="22"/>
        </w:rPr>
        <w:t>Primijeniti simboliku boja u izradi logotipa fiktivnog poduzeća.</w:t>
      </w:r>
    </w:p>
    <w:p w:rsidR="00624586" w:rsidRDefault="00624586" w:rsidP="00134FA8">
      <w:pPr>
        <w:pStyle w:val="StandardWeb"/>
        <w:spacing w:before="0" w:beforeAutospacing="0" w:after="160" w:afterAutospacing="0"/>
        <w:jc w:val="both"/>
      </w:pPr>
      <w:r>
        <w:rPr>
          <w:rFonts w:ascii="Arial" w:hAnsi="Arial" w:cs="Arial"/>
          <w:color w:val="000000"/>
          <w:sz w:val="22"/>
          <w:szCs w:val="22"/>
        </w:rPr>
        <w:t xml:space="preserve">Tijek </w:t>
      </w:r>
      <w:proofErr w:type="spellStart"/>
      <w:r>
        <w:rPr>
          <w:rFonts w:ascii="Arial" w:hAnsi="Arial" w:cs="Arial"/>
          <w:color w:val="000000"/>
          <w:sz w:val="22"/>
          <w:szCs w:val="22"/>
        </w:rPr>
        <w:t>dvosata</w:t>
      </w:r>
      <w:proofErr w:type="spellEnd"/>
      <w:r>
        <w:rPr>
          <w:rFonts w:ascii="Arial" w:hAnsi="Arial" w:cs="Arial"/>
          <w:color w:val="000000"/>
          <w:sz w:val="22"/>
          <w:szCs w:val="22"/>
        </w:rPr>
        <w:t>:</w:t>
      </w:r>
    </w:p>
    <w:p w:rsidR="00624586" w:rsidRDefault="00624586" w:rsidP="00134FA8">
      <w:pPr>
        <w:pStyle w:val="StandardWeb"/>
        <w:spacing w:before="0" w:beforeAutospacing="0" w:after="160" w:afterAutospacing="0"/>
        <w:jc w:val="both"/>
      </w:pPr>
      <w:r>
        <w:rPr>
          <w:rFonts w:ascii="Arial" w:hAnsi="Arial" w:cs="Arial"/>
          <w:color w:val="000000"/>
          <w:sz w:val="22"/>
          <w:szCs w:val="22"/>
        </w:rPr>
        <w:t>U prvom koraku učenici su govorili o svojim omiljenim bojama i što im one znače, te o značenjima različitih boja u njihovoj kulturi. Nakon toga su upoznati sa raznim značenjima boja u različiti</w:t>
      </w:r>
      <w:r w:rsidR="00634D25">
        <w:rPr>
          <w:rFonts w:ascii="Arial" w:hAnsi="Arial" w:cs="Arial"/>
          <w:color w:val="000000"/>
          <w:sz w:val="22"/>
          <w:szCs w:val="22"/>
        </w:rPr>
        <w:t>m društvima u okviru Građanskog odgoja i obrazovanja</w:t>
      </w:r>
      <w:r>
        <w:rPr>
          <w:rFonts w:ascii="Arial" w:hAnsi="Arial" w:cs="Arial"/>
          <w:color w:val="000000"/>
          <w:sz w:val="22"/>
          <w:szCs w:val="22"/>
        </w:rPr>
        <w:t xml:space="preserve">. Učenici su s nastavnicom kratko raspravljali o nastanku takvih značenja. U sljedećem koraku učenici su pokušali u grupnom radu pronaći čim više izraza vezanih uz pojedinu boju (crna, plava, crvena, bijela i zelena).  Učenici su upoznati s pojmom frazema i koji uvjeti trebaju biti ispunjeni da bi postojao frazem (HJ). Uz korištenje Hrvatskog frazeološkog rječnika i mobilnih uređaja učenici su tražili nove, nepoznate frazeme te ih predstavljali ostatku razreda u obliku </w:t>
      </w:r>
      <w:proofErr w:type="spellStart"/>
      <w:r>
        <w:rPr>
          <w:rFonts w:ascii="Arial" w:hAnsi="Arial" w:cs="Arial"/>
          <w:i/>
          <w:iCs/>
          <w:color w:val="000000"/>
          <w:sz w:val="22"/>
          <w:szCs w:val="22"/>
        </w:rPr>
        <w:t>world</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cafe</w:t>
      </w:r>
      <w:proofErr w:type="spellEnd"/>
      <w:r>
        <w:rPr>
          <w:rFonts w:ascii="Arial" w:hAnsi="Arial" w:cs="Arial"/>
          <w:color w:val="000000"/>
          <w:sz w:val="22"/>
          <w:szCs w:val="22"/>
        </w:rPr>
        <w:t xml:space="preserve"> metode. U novim su se grupama učenici upoznali s njemačkim frazemima s bojama te ih uspoređivali s hrvatskim. U ovom dijelu su se učenici vratili na </w:t>
      </w:r>
      <w:proofErr w:type="spellStart"/>
      <w:r>
        <w:rPr>
          <w:rFonts w:ascii="Arial" w:hAnsi="Arial" w:cs="Arial"/>
          <w:color w:val="000000"/>
          <w:sz w:val="22"/>
          <w:szCs w:val="22"/>
        </w:rPr>
        <w:t>interkulturalni</w:t>
      </w:r>
      <w:proofErr w:type="spellEnd"/>
      <w:r>
        <w:rPr>
          <w:rFonts w:ascii="Arial" w:hAnsi="Arial" w:cs="Arial"/>
          <w:color w:val="000000"/>
          <w:sz w:val="22"/>
          <w:szCs w:val="22"/>
        </w:rPr>
        <w:t xml:space="preserve"> pristup i pokušali objasniti zašto postoje te razlike. Potom su trebali dopuniti kratke razgovore na njemačkom jeziku s odgovarajućim frazemom.</w:t>
      </w:r>
    </w:p>
    <w:p w:rsidR="00624586" w:rsidRDefault="00624586" w:rsidP="00134FA8">
      <w:pPr>
        <w:pStyle w:val="StandardWeb"/>
        <w:spacing w:before="0" w:beforeAutospacing="0" w:after="160" w:afterAutospacing="0"/>
        <w:jc w:val="both"/>
      </w:pPr>
      <w:r>
        <w:rPr>
          <w:rFonts w:ascii="Arial" w:hAnsi="Arial" w:cs="Arial"/>
          <w:color w:val="000000"/>
          <w:sz w:val="22"/>
          <w:szCs w:val="22"/>
        </w:rPr>
        <w:t>U završnom koraku učenici su osmišljavati svoje kratke razgovore na njemačkom jeziku, a kao projektni zadatak trebali su osmisliti logo svoje fiktivne ugostiteljsko-turističke tvrtke koristeći odgovarajuće boje i njihovu simboliku, odnosno trebali su primijeniti stečeno znanje o značenju boja i njihovom utjecaju na psihologiju čovjeka.</w:t>
      </w:r>
    </w:p>
    <w:p w:rsidR="00624586" w:rsidRDefault="00624586" w:rsidP="00134FA8">
      <w:pPr>
        <w:pStyle w:val="StandardWeb"/>
        <w:spacing w:before="0" w:beforeAutospacing="0" w:after="160" w:afterAutospacing="0"/>
        <w:jc w:val="both"/>
      </w:pPr>
      <w:r>
        <w:rPr>
          <w:rFonts w:ascii="Arial" w:hAnsi="Arial" w:cs="Arial"/>
          <w:color w:val="000000"/>
          <w:sz w:val="22"/>
          <w:szCs w:val="22"/>
        </w:rPr>
        <w:t>Na kraju sata učenici su zamoljeni za evaluaciju integrirane nastave, a ovo su njihovi odgovori.</w:t>
      </w:r>
    </w:p>
    <w:p w:rsidR="00624586" w:rsidRDefault="00624586" w:rsidP="00134FA8">
      <w:pPr>
        <w:pStyle w:val="StandardWeb"/>
        <w:spacing w:before="0" w:beforeAutospacing="0" w:after="160" w:afterAutospacing="0"/>
        <w:jc w:val="both"/>
      </w:pPr>
    </w:p>
    <w:p w:rsidR="00624586" w:rsidRDefault="00624586" w:rsidP="00134FA8">
      <w:pPr>
        <w:pStyle w:val="StandardWeb"/>
        <w:spacing w:before="0" w:beforeAutospacing="0" w:after="160" w:afterAutospacing="0"/>
        <w:jc w:val="both"/>
      </w:pPr>
      <w:r>
        <w:rPr>
          <w:rFonts w:ascii="Arial" w:hAnsi="Arial" w:cs="Arial"/>
          <w:color w:val="000000"/>
          <w:sz w:val="22"/>
          <w:szCs w:val="22"/>
        </w:rPr>
        <w:t> </w:t>
      </w:r>
    </w:p>
    <w:p w:rsidR="00624586" w:rsidRDefault="00624586" w:rsidP="00134FA8">
      <w:pPr>
        <w:pStyle w:val="StandardWeb"/>
        <w:spacing w:before="0" w:beforeAutospacing="0" w:after="160" w:afterAutospacing="0"/>
        <w:jc w:val="both"/>
      </w:pPr>
      <w:r>
        <w:rPr>
          <w:rFonts w:ascii="Arial" w:hAnsi="Arial" w:cs="Arial"/>
          <w:color w:val="000000"/>
          <w:sz w:val="22"/>
          <w:szCs w:val="22"/>
        </w:rPr>
        <w:t> </w:t>
      </w:r>
    </w:p>
    <w:p w:rsidR="00624586" w:rsidRDefault="00624586" w:rsidP="00134FA8">
      <w:pPr>
        <w:pStyle w:val="StandardWeb"/>
        <w:spacing w:before="0" w:beforeAutospacing="0" w:after="160" w:afterAutospacing="0"/>
        <w:jc w:val="both"/>
        <w:rPr>
          <w:rFonts w:ascii="Arial" w:hAnsi="Arial" w:cs="Arial"/>
          <w:color w:val="000000"/>
          <w:sz w:val="22"/>
          <w:szCs w:val="22"/>
        </w:rPr>
      </w:pPr>
      <w:r>
        <w:rPr>
          <w:rFonts w:ascii="Arial" w:hAnsi="Arial" w:cs="Arial"/>
          <w:color w:val="000000"/>
          <w:sz w:val="22"/>
          <w:szCs w:val="22"/>
        </w:rPr>
        <w:t>Zaključak</w:t>
      </w:r>
    </w:p>
    <w:p w:rsidR="00624586" w:rsidRDefault="00624586" w:rsidP="00134FA8">
      <w:pPr>
        <w:pStyle w:val="StandardWeb"/>
        <w:spacing w:before="0" w:beforeAutospacing="0" w:after="160" w:afterAutospacing="0"/>
        <w:jc w:val="both"/>
      </w:pPr>
      <w:r>
        <w:rPr>
          <w:rFonts w:ascii="Arial" w:hAnsi="Arial" w:cs="Arial"/>
          <w:color w:val="000000"/>
          <w:sz w:val="22"/>
          <w:szCs w:val="22"/>
        </w:rPr>
        <w:t xml:space="preserve">Na temelju razmatranja teorijskih polazišta i pedagoške prakse može se zaključiti da integrirana nastava predstavlja učinkovit pristup organizaciji odgojno-obrazovnog procesa. Povezivanje sadržaja različitih nastavnih područja i predmet učenicima se omogućuje cjelovitije razumijevanje pojava i procesa te usvajanje znanja u kontekstu stvarnih životnih situacija. Takav pristup potiče razvoj kritičkog mišljenja, kreativnosti, sposobnosti rješavanja problema i primjene stečenih znanja u novim okolnostima. Osim kognitivnih dobrobiti, integrirana nastava pozitivno utječe na motivaciju i aktivno sudjelovanje učenika u procesu učenja. Učenici postaju aktivni sudionici nastave što doprinosi većoj trajnosti i kvaliteti usvojenih znanja. Istodobno, integracija nastavnih sadržaja omogućuje racionalnije korištenje vremena te pridonosi ostvarivanju interdisciplinarnog pristupa koji je u skladu sa suvremenim obrazovnim zahtjevima. Stoga se može zaključiti da je integrirana nastava vrijedan model poučavanja koji doprinosi cjelovitom razvoju učenika, unapređenju kvalitete nastavnog </w:t>
      </w:r>
      <w:r>
        <w:rPr>
          <w:rFonts w:ascii="Arial" w:hAnsi="Arial" w:cs="Arial"/>
          <w:color w:val="000000"/>
          <w:sz w:val="22"/>
          <w:szCs w:val="22"/>
        </w:rPr>
        <w:lastRenderedPageBreak/>
        <w:t>procesa i ostvarivanju ishoda učenja usmjerenih na razvoj kompetencija potrebnih za uspješno djelovanje u suvremenom društvu.</w:t>
      </w:r>
    </w:p>
    <w:p w:rsidR="00624586" w:rsidRDefault="00624586" w:rsidP="00134FA8">
      <w:pPr>
        <w:pStyle w:val="StandardWeb"/>
        <w:spacing w:before="0" w:beforeAutospacing="0" w:after="160" w:afterAutospacing="0"/>
        <w:jc w:val="both"/>
      </w:pPr>
      <w:r>
        <w:rPr>
          <w:rFonts w:ascii="Arial" w:hAnsi="Arial" w:cs="Arial"/>
          <w:color w:val="000000"/>
          <w:sz w:val="22"/>
          <w:szCs w:val="22"/>
        </w:rPr>
        <w:t> </w:t>
      </w:r>
    </w:p>
    <w:p w:rsidR="00624586" w:rsidRDefault="00624586" w:rsidP="00134FA8">
      <w:pPr>
        <w:pStyle w:val="StandardWeb"/>
        <w:spacing w:before="0" w:beforeAutospacing="0" w:after="160" w:afterAutospacing="0"/>
        <w:jc w:val="both"/>
      </w:pPr>
      <w:r>
        <w:rPr>
          <w:rFonts w:ascii="Arial" w:hAnsi="Arial" w:cs="Arial"/>
          <w:color w:val="000000"/>
          <w:sz w:val="22"/>
          <w:szCs w:val="22"/>
        </w:rPr>
        <w:t> </w:t>
      </w:r>
    </w:p>
    <w:p w:rsidR="00624586" w:rsidRDefault="00624586" w:rsidP="00134FA8">
      <w:pPr>
        <w:pStyle w:val="StandardWeb"/>
        <w:spacing w:before="0" w:beforeAutospacing="0" w:after="160" w:afterAutospacing="0"/>
        <w:jc w:val="both"/>
      </w:pPr>
      <w:r>
        <w:rPr>
          <w:rFonts w:ascii="Arial" w:hAnsi="Arial" w:cs="Arial"/>
          <w:color w:val="000000"/>
          <w:sz w:val="22"/>
          <w:szCs w:val="22"/>
        </w:rPr>
        <w:t>Literatura:</w:t>
      </w:r>
    </w:p>
    <w:p w:rsidR="00624586" w:rsidRDefault="00624586" w:rsidP="00134FA8">
      <w:pPr>
        <w:pStyle w:val="StandardWeb"/>
        <w:spacing w:before="0" w:beforeAutospacing="0" w:after="160" w:afterAutospacing="0"/>
        <w:jc w:val="both"/>
      </w:pPr>
      <w:r>
        <w:rPr>
          <w:rFonts w:ascii="Arial" w:hAnsi="Arial" w:cs="Arial"/>
          <w:color w:val="000000"/>
          <w:sz w:val="22"/>
          <w:szCs w:val="22"/>
        </w:rPr>
        <w:t xml:space="preserve">Badurina, D. R., &amp; Vodopija, I. (2020). </w:t>
      </w:r>
      <w:r>
        <w:rPr>
          <w:rFonts w:ascii="Arial" w:hAnsi="Arial" w:cs="Arial"/>
          <w:i/>
          <w:iCs/>
          <w:color w:val="000000"/>
          <w:sz w:val="22"/>
          <w:szCs w:val="22"/>
        </w:rPr>
        <w:t>Integrirano usvajanje stranoga jezika i sadržaja (CLIL): Prednosti, izazovi i mjere</w:t>
      </w:r>
      <w:r>
        <w:rPr>
          <w:rFonts w:ascii="Arial" w:hAnsi="Arial" w:cs="Arial"/>
          <w:color w:val="000000"/>
          <w:sz w:val="22"/>
          <w:szCs w:val="22"/>
        </w:rPr>
        <w:t xml:space="preserve">. </w:t>
      </w:r>
      <w:r>
        <w:rPr>
          <w:rFonts w:ascii="Arial" w:hAnsi="Arial" w:cs="Arial"/>
          <w:i/>
          <w:iCs/>
          <w:color w:val="000000"/>
          <w:sz w:val="22"/>
          <w:szCs w:val="22"/>
        </w:rPr>
        <w:t>Metodički vidici</w:t>
      </w:r>
      <w:r>
        <w:rPr>
          <w:rFonts w:ascii="Arial" w:hAnsi="Arial" w:cs="Arial"/>
          <w:color w:val="000000"/>
          <w:sz w:val="22"/>
          <w:szCs w:val="22"/>
        </w:rPr>
        <w:t>, 11, 69-90.</w:t>
      </w:r>
    </w:p>
    <w:p w:rsidR="00624586" w:rsidRDefault="00624586" w:rsidP="00134FA8">
      <w:pPr>
        <w:pStyle w:val="StandardWeb"/>
        <w:spacing w:before="0" w:beforeAutospacing="0" w:after="160" w:afterAutospacing="0"/>
        <w:jc w:val="both"/>
      </w:pPr>
      <w:proofErr w:type="spellStart"/>
      <w:r>
        <w:rPr>
          <w:rFonts w:ascii="Arial" w:hAnsi="Arial" w:cs="Arial"/>
          <w:color w:val="000000"/>
          <w:sz w:val="22"/>
          <w:szCs w:val="22"/>
        </w:rPr>
        <w:t>Ball</w:t>
      </w:r>
      <w:proofErr w:type="spellEnd"/>
      <w:r>
        <w:rPr>
          <w:rFonts w:ascii="Arial" w:hAnsi="Arial" w:cs="Arial"/>
          <w:color w:val="000000"/>
          <w:sz w:val="22"/>
          <w:szCs w:val="22"/>
        </w:rPr>
        <w:t xml:space="preserve">, P., </w:t>
      </w:r>
      <w:proofErr w:type="spellStart"/>
      <w:r>
        <w:rPr>
          <w:rFonts w:ascii="Arial" w:hAnsi="Arial" w:cs="Arial"/>
          <w:color w:val="000000"/>
          <w:sz w:val="22"/>
          <w:szCs w:val="22"/>
        </w:rPr>
        <w:t>Kelly</w:t>
      </w:r>
      <w:proofErr w:type="spellEnd"/>
      <w:r>
        <w:rPr>
          <w:rFonts w:ascii="Arial" w:hAnsi="Arial" w:cs="Arial"/>
          <w:color w:val="000000"/>
          <w:sz w:val="22"/>
          <w:szCs w:val="22"/>
        </w:rPr>
        <w:t xml:space="preserve">. K., </w:t>
      </w:r>
      <w:proofErr w:type="spellStart"/>
      <w:r>
        <w:rPr>
          <w:rFonts w:ascii="Arial" w:hAnsi="Arial" w:cs="Arial"/>
          <w:color w:val="000000"/>
          <w:sz w:val="22"/>
          <w:szCs w:val="22"/>
        </w:rPr>
        <w:t>Clegg</w:t>
      </w:r>
      <w:proofErr w:type="spellEnd"/>
      <w:r>
        <w:rPr>
          <w:rFonts w:ascii="Arial" w:hAnsi="Arial" w:cs="Arial"/>
          <w:color w:val="000000"/>
          <w:sz w:val="22"/>
          <w:szCs w:val="22"/>
        </w:rPr>
        <w:t xml:space="preserve">, J. (2015). </w:t>
      </w:r>
      <w:proofErr w:type="spellStart"/>
      <w:r>
        <w:rPr>
          <w:rFonts w:ascii="Arial" w:hAnsi="Arial" w:cs="Arial"/>
          <w:color w:val="000000"/>
          <w:sz w:val="22"/>
          <w:szCs w:val="22"/>
        </w:rPr>
        <w:t>Putting</w:t>
      </w:r>
      <w:proofErr w:type="spellEnd"/>
      <w:r>
        <w:rPr>
          <w:rFonts w:ascii="Arial" w:hAnsi="Arial" w:cs="Arial"/>
          <w:color w:val="000000"/>
          <w:sz w:val="22"/>
          <w:szCs w:val="22"/>
        </w:rPr>
        <w:t xml:space="preserve"> CLIL </w:t>
      </w:r>
      <w:proofErr w:type="spellStart"/>
      <w:r>
        <w:rPr>
          <w:rFonts w:ascii="Arial" w:hAnsi="Arial" w:cs="Arial"/>
          <w:color w:val="000000"/>
          <w:sz w:val="22"/>
          <w:szCs w:val="22"/>
        </w:rPr>
        <w:t>into</w:t>
      </w:r>
      <w:proofErr w:type="spellEnd"/>
      <w:r>
        <w:rPr>
          <w:rFonts w:ascii="Arial" w:hAnsi="Arial" w:cs="Arial"/>
          <w:color w:val="000000"/>
          <w:sz w:val="22"/>
          <w:szCs w:val="22"/>
        </w:rPr>
        <w:t xml:space="preserve"> </w:t>
      </w:r>
      <w:proofErr w:type="spellStart"/>
      <w:r>
        <w:rPr>
          <w:rFonts w:ascii="Arial" w:hAnsi="Arial" w:cs="Arial"/>
          <w:color w:val="000000"/>
          <w:sz w:val="22"/>
          <w:szCs w:val="22"/>
        </w:rPr>
        <w:t>Practice</w:t>
      </w:r>
      <w:proofErr w:type="spellEnd"/>
      <w:r>
        <w:rPr>
          <w:rFonts w:ascii="Arial" w:hAnsi="Arial" w:cs="Arial"/>
          <w:color w:val="000000"/>
          <w:sz w:val="22"/>
          <w:szCs w:val="22"/>
        </w:rPr>
        <w:t xml:space="preserve">. </w:t>
      </w:r>
      <w:proofErr w:type="spellStart"/>
      <w:r>
        <w:rPr>
          <w:rFonts w:ascii="Arial" w:hAnsi="Arial" w:cs="Arial"/>
          <w:color w:val="000000"/>
          <w:sz w:val="22"/>
          <w:szCs w:val="22"/>
        </w:rPr>
        <w:t>Oxford</w:t>
      </w:r>
      <w:proofErr w:type="spellEnd"/>
      <w:r>
        <w:rPr>
          <w:rFonts w:ascii="Arial" w:hAnsi="Arial" w:cs="Arial"/>
          <w:color w:val="000000"/>
          <w:sz w:val="22"/>
          <w:szCs w:val="22"/>
        </w:rPr>
        <w:t xml:space="preserve">: </w:t>
      </w:r>
      <w:proofErr w:type="spellStart"/>
      <w:r>
        <w:rPr>
          <w:rFonts w:ascii="Arial" w:hAnsi="Arial" w:cs="Arial"/>
          <w:color w:val="000000"/>
          <w:sz w:val="22"/>
          <w:szCs w:val="22"/>
        </w:rPr>
        <w:t>Oxford</w:t>
      </w:r>
      <w:proofErr w:type="spellEnd"/>
      <w:r>
        <w:rPr>
          <w:rFonts w:ascii="Arial" w:hAnsi="Arial" w:cs="Arial"/>
          <w:color w:val="000000"/>
          <w:sz w:val="22"/>
          <w:szCs w:val="22"/>
        </w:rPr>
        <w:t xml:space="preserve"> University Press.</w:t>
      </w:r>
    </w:p>
    <w:p w:rsidR="00624586" w:rsidRDefault="00624586" w:rsidP="00134FA8">
      <w:pPr>
        <w:pStyle w:val="StandardWeb"/>
        <w:spacing w:before="0" w:beforeAutospacing="0" w:after="160" w:afterAutospacing="0"/>
        <w:jc w:val="both"/>
      </w:pPr>
      <w:proofErr w:type="spellStart"/>
      <w:r>
        <w:rPr>
          <w:rFonts w:ascii="Arial" w:hAnsi="Arial" w:cs="Arial"/>
          <w:color w:val="000000"/>
          <w:sz w:val="22"/>
          <w:szCs w:val="22"/>
        </w:rPr>
        <w:t>Coyle</w:t>
      </w:r>
      <w:proofErr w:type="spellEnd"/>
      <w:r>
        <w:rPr>
          <w:rFonts w:ascii="Arial" w:hAnsi="Arial" w:cs="Arial"/>
          <w:color w:val="000000"/>
          <w:sz w:val="22"/>
          <w:szCs w:val="22"/>
        </w:rPr>
        <w:t xml:space="preserve">, D., Hood, P., &amp; </w:t>
      </w:r>
      <w:proofErr w:type="spellStart"/>
      <w:r>
        <w:rPr>
          <w:rFonts w:ascii="Arial" w:hAnsi="Arial" w:cs="Arial"/>
          <w:color w:val="000000"/>
          <w:sz w:val="22"/>
          <w:szCs w:val="22"/>
        </w:rPr>
        <w:t>Marsh</w:t>
      </w:r>
      <w:proofErr w:type="spellEnd"/>
      <w:r>
        <w:rPr>
          <w:rFonts w:ascii="Arial" w:hAnsi="Arial" w:cs="Arial"/>
          <w:color w:val="000000"/>
          <w:sz w:val="22"/>
          <w:szCs w:val="22"/>
        </w:rPr>
        <w:t xml:space="preserve">, D. (2010). </w:t>
      </w:r>
      <w:r>
        <w:rPr>
          <w:rFonts w:ascii="Arial" w:hAnsi="Arial" w:cs="Arial"/>
          <w:i/>
          <w:iCs/>
          <w:color w:val="000000"/>
          <w:sz w:val="22"/>
          <w:szCs w:val="22"/>
        </w:rPr>
        <w:t xml:space="preserve">CLIL: </w:t>
      </w:r>
      <w:proofErr w:type="spellStart"/>
      <w:r>
        <w:rPr>
          <w:rFonts w:ascii="Arial" w:hAnsi="Arial" w:cs="Arial"/>
          <w:i/>
          <w:iCs/>
          <w:color w:val="000000"/>
          <w:sz w:val="22"/>
          <w:szCs w:val="22"/>
        </w:rPr>
        <w:t>Content</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and</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Language</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Integrated</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Learning</w:t>
      </w:r>
      <w:proofErr w:type="spellEnd"/>
      <w:r>
        <w:rPr>
          <w:rFonts w:ascii="Arial" w:hAnsi="Arial" w:cs="Arial"/>
          <w:color w:val="000000"/>
          <w:sz w:val="22"/>
          <w:szCs w:val="22"/>
        </w:rPr>
        <w:t xml:space="preserve">. </w:t>
      </w:r>
      <w:proofErr w:type="spellStart"/>
      <w:r>
        <w:rPr>
          <w:rFonts w:ascii="Arial" w:hAnsi="Arial" w:cs="Arial"/>
          <w:color w:val="000000"/>
          <w:sz w:val="22"/>
          <w:szCs w:val="22"/>
        </w:rPr>
        <w:t>Cambridge</w:t>
      </w:r>
      <w:proofErr w:type="spellEnd"/>
      <w:r>
        <w:rPr>
          <w:rFonts w:ascii="Arial" w:hAnsi="Arial" w:cs="Arial"/>
          <w:color w:val="000000"/>
          <w:sz w:val="22"/>
          <w:szCs w:val="22"/>
        </w:rPr>
        <w:t xml:space="preserve"> University Press.</w:t>
      </w:r>
    </w:p>
    <w:p w:rsidR="00624586" w:rsidRDefault="00624586" w:rsidP="00134FA8">
      <w:pPr>
        <w:pStyle w:val="StandardWeb"/>
        <w:spacing w:before="0" w:beforeAutospacing="0" w:after="160" w:afterAutospacing="0"/>
        <w:jc w:val="both"/>
      </w:pPr>
      <w:proofErr w:type="spellStart"/>
      <w:r>
        <w:rPr>
          <w:rFonts w:ascii="Arial" w:hAnsi="Arial" w:cs="Arial"/>
          <w:color w:val="000000"/>
          <w:sz w:val="22"/>
          <w:szCs w:val="22"/>
        </w:rPr>
        <w:t>Kadović</w:t>
      </w:r>
      <w:proofErr w:type="spellEnd"/>
      <w:r>
        <w:rPr>
          <w:rFonts w:ascii="Arial" w:hAnsi="Arial" w:cs="Arial"/>
          <w:color w:val="000000"/>
          <w:sz w:val="22"/>
          <w:szCs w:val="22"/>
        </w:rPr>
        <w:t xml:space="preserve">, Ana. "Integrativni pristup nastavi na primjeru </w:t>
      </w:r>
      <w:proofErr w:type="spellStart"/>
      <w:r>
        <w:rPr>
          <w:rFonts w:ascii="Arial" w:hAnsi="Arial" w:cs="Arial"/>
          <w:color w:val="000000"/>
          <w:sz w:val="22"/>
          <w:szCs w:val="22"/>
        </w:rPr>
        <w:t>sukreiranja</w:t>
      </w:r>
      <w:proofErr w:type="spellEnd"/>
      <w:r>
        <w:rPr>
          <w:rFonts w:ascii="Arial" w:hAnsi="Arial" w:cs="Arial"/>
          <w:color w:val="000000"/>
          <w:sz w:val="22"/>
          <w:szCs w:val="22"/>
        </w:rPr>
        <w:t xml:space="preserve"> </w:t>
      </w:r>
      <w:proofErr w:type="spellStart"/>
      <w:r>
        <w:rPr>
          <w:rFonts w:ascii="Arial" w:hAnsi="Arial" w:cs="Arial"/>
          <w:color w:val="000000"/>
          <w:sz w:val="22"/>
          <w:szCs w:val="22"/>
        </w:rPr>
        <w:t>kurikula</w:t>
      </w:r>
      <w:proofErr w:type="spellEnd"/>
      <w:r>
        <w:rPr>
          <w:rFonts w:ascii="Arial" w:hAnsi="Arial" w:cs="Arial"/>
          <w:color w:val="000000"/>
          <w:sz w:val="22"/>
          <w:szCs w:val="22"/>
        </w:rPr>
        <w:t xml:space="preserve"> prema djelu Pavla Rittera Vitezovića „Dva stoljeća uplakane Hrvatske”." </w:t>
      </w:r>
      <w:r>
        <w:rPr>
          <w:rFonts w:ascii="Arial" w:hAnsi="Arial" w:cs="Arial"/>
          <w:i/>
          <w:iCs/>
          <w:color w:val="000000"/>
          <w:sz w:val="22"/>
          <w:szCs w:val="22"/>
        </w:rPr>
        <w:t>Hrvatski</w:t>
      </w:r>
      <w:r>
        <w:rPr>
          <w:rFonts w:ascii="Arial" w:hAnsi="Arial" w:cs="Arial"/>
          <w:color w:val="000000"/>
          <w:sz w:val="22"/>
          <w:szCs w:val="22"/>
        </w:rPr>
        <w:t>, vol. 22., br. 1, 2024, str. 9-36.</w:t>
      </w:r>
      <w:hyperlink r:id="rId4" w:history="1">
        <w:r>
          <w:rPr>
            <w:rStyle w:val="Hiperveza"/>
            <w:rFonts w:ascii="Arial" w:hAnsi="Arial" w:cs="Arial"/>
            <w:color w:val="000000"/>
            <w:sz w:val="22"/>
            <w:szCs w:val="22"/>
          </w:rPr>
          <w:t xml:space="preserve"> </w:t>
        </w:r>
        <w:r>
          <w:rPr>
            <w:rStyle w:val="Hiperveza"/>
            <w:rFonts w:ascii="Arial" w:hAnsi="Arial" w:cs="Arial"/>
            <w:color w:val="1155CC"/>
            <w:sz w:val="22"/>
            <w:szCs w:val="22"/>
          </w:rPr>
          <w:t>https://hrcak.srce.hr/323942. Citirano 26.05.2026</w:t>
        </w:r>
      </w:hyperlink>
      <w:r>
        <w:rPr>
          <w:rFonts w:ascii="Arial" w:hAnsi="Arial" w:cs="Arial"/>
          <w:color w:val="000000"/>
          <w:sz w:val="22"/>
          <w:szCs w:val="22"/>
        </w:rPr>
        <w:t>.</w:t>
      </w:r>
    </w:p>
    <w:p w:rsidR="00624586" w:rsidRDefault="00624586" w:rsidP="00134FA8">
      <w:pPr>
        <w:pStyle w:val="StandardWeb"/>
        <w:spacing w:before="0" w:beforeAutospacing="0" w:after="160" w:afterAutospacing="0"/>
        <w:jc w:val="both"/>
      </w:pPr>
      <w:r>
        <w:rPr>
          <w:rFonts w:ascii="Arial" w:hAnsi="Arial" w:cs="Arial"/>
          <w:color w:val="000000"/>
          <w:sz w:val="22"/>
          <w:szCs w:val="22"/>
        </w:rPr>
        <w:t>Poljak, V. (1965), Cjelovitost nastave. Zagreb: ©kolska knjiga.</w:t>
      </w:r>
    </w:p>
    <w:p w:rsidR="00624586" w:rsidRDefault="00624586" w:rsidP="00134FA8">
      <w:pPr>
        <w:pStyle w:val="StandardWeb"/>
        <w:spacing w:before="0" w:beforeAutospacing="0" w:after="160" w:afterAutospacing="0"/>
        <w:jc w:val="both"/>
      </w:pPr>
      <w:proofErr w:type="spellStart"/>
      <w:r>
        <w:rPr>
          <w:rFonts w:ascii="Arial" w:hAnsi="Arial" w:cs="Arial"/>
          <w:color w:val="000000"/>
          <w:sz w:val="22"/>
          <w:szCs w:val="22"/>
        </w:rPr>
        <w:t>Skupnjak</w:t>
      </w:r>
      <w:proofErr w:type="spellEnd"/>
      <w:r>
        <w:rPr>
          <w:rFonts w:ascii="Arial" w:hAnsi="Arial" w:cs="Arial"/>
          <w:color w:val="000000"/>
          <w:sz w:val="22"/>
          <w:szCs w:val="22"/>
        </w:rPr>
        <w:t xml:space="preserve">, Draženka. "Integrirana nastava — prijedlog integracije u početnoj nastavi matematike." </w:t>
      </w:r>
      <w:r>
        <w:rPr>
          <w:rFonts w:ascii="Arial" w:hAnsi="Arial" w:cs="Arial"/>
          <w:i/>
          <w:iCs/>
          <w:color w:val="000000"/>
          <w:sz w:val="22"/>
          <w:szCs w:val="22"/>
        </w:rPr>
        <w:t>Napredak</w:t>
      </w:r>
      <w:r>
        <w:rPr>
          <w:rFonts w:ascii="Arial" w:hAnsi="Arial" w:cs="Arial"/>
          <w:color w:val="000000"/>
          <w:sz w:val="22"/>
          <w:szCs w:val="22"/>
        </w:rPr>
        <w:t>, vol. 150, br. 2, 2009, str. 260-270. https://hrcak.srce.hr/82803. Citirano 26.05.2026.</w:t>
      </w:r>
    </w:p>
    <w:p w:rsidR="00624586" w:rsidRDefault="00624586" w:rsidP="00134FA8">
      <w:pPr>
        <w:pStyle w:val="StandardWeb"/>
        <w:spacing w:before="0" w:beforeAutospacing="0" w:after="160" w:afterAutospacing="0"/>
        <w:jc w:val="both"/>
      </w:pPr>
      <w:r>
        <w:rPr>
          <w:rFonts w:ascii="Arial" w:hAnsi="Arial" w:cs="Arial"/>
          <w:color w:val="000000"/>
          <w:sz w:val="22"/>
          <w:szCs w:val="22"/>
        </w:rPr>
        <w:t>Vodopija-</w:t>
      </w:r>
      <w:proofErr w:type="spellStart"/>
      <w:r>
        <w:rPr>
          <w:rFonts w:ascii="Arial" w:hAnsi="Arial" w:cs="Arial"/>
          <w:color w:val="000000"/>
          <w:sz w:val="22"/>
          <w:szCs w:val="22"/>
        </w:rPr>
        <w:t>Krstanović</w:t>
      </w:r>
      <w:proofErr w:type="spellEnd"/>
      <w:r>
        <w:rPr>
          <w:rFonts w:ascii="Arial" w:hAnsi="Arial" w:cs="Arial"/>
          <w:color w:val="000000"/>
          <w:sz w:val="22"/>
          <w:szCs w:val="22"/>
        </w:rPr>
        <w:t xml:space="preserve">, I. i Badurina, D. R. (2020) „Integrirano usvajanje stranoga jezika i sadržaja (CLIL): Prednosti, izazovi i mjere', </w:t>
      </w:r>
      <w:r>
        <w:rPr>
          <w:rFonts w:ascii="Arial" w:hAnsi="Arial" w:cs="Arial"/>
          <w:i/>
          <w:iCs/>
          <w:color w:val="000000"/>
          <w:sz w:val="22"/>
          <w:szCs w:val="22"/>
        </w:rPr>
        <w:t>Metodički vidici</w:t>
      </w:r>
      <w:r>
        <w:rPr>
          <w:rFonts w:ascii="Arial" w:hAnsi="Arial" w:cs="Arial"/>
          <w:color w:val="000000"/>
          <w:sz w:val="22"/>
          <w:szCs w:val="22"/>
        </w:rPr>
        <w:t xml:space="preserve">, 11(1), str. 69–90. </w:t>
      </w:r>
      <w:proofErr w:type="spellStart"/>
      <w:r>
        <w:rPr>
          <w:rFonts w:ascii="Arial" w:hAnsi="Arial" w:cs="Arial"/>
          <w:color w:val="000000"/>
          <w:sz w:val="22"/>
          <w:szCs w:val="22"/>
        </w:rPr>
        <w:t>doi</w:t>
      </w:r>
      <w:proofErr w:type="spellEnd"/>
      <w:r>
        <w:rPr>
          <w:rFonts w:ascii="Arial" w:hAnsi="Arial" w:cs="Arial"/>
          <w:color w:val="000000"/>
          <w:sz w:val="22"/>
          <w:szCs w:val="22"/>
        </w:rPr>
        <w:t>:  10.19090/mv.2020.11.69-90.</w:t>
      </w:r>
    </w:p>
    <w:p w:rsidR="00624586" w:rsidRDefault="00624586" w:rsidP="00134FA8">
      <w:pPr>
        <w:pStyle w:val="StandardWeb"/>
        <w:spacing w:before="0" w:beforeAutospacing="0" w:after="160" w:afterAutospacing="0"/>
        <w:jc w:val="both"/>
      </w:pPr>
      <w:proofErr w:type="spellStart"/>
      <w:r>
        <w:rPr>
          <w:rFonts w:ascii="Arial" w:hAnsi="Arial" w:cs="Arial"/>
          <w:color w:val="000000"/>
          <w:sz w:val="22"/>
          <w:szCs w:val="22"/>
        </w:rPr>
        <w:t>Wicke</w:t>
      </w:r>
      <w:proofErr w:type="spellEnd"/>
      <w:r>
        <w:rPr>
          <w:rFonts w:ascii="Arial" w:hAnsi="Arial" w:cs="Arial"/>
          <w:color w:val="000000"/>
          <w:sz w:val="22"/>
          <w:szCs w:val="22"/>
        </w:rPr>
        <w:t xml:space="preserve">, R. E. (2014). </w:t>
      </w:r>
      <w:proofErr w:type="spellStart"/>
      <w:r>
        <w:rPr>
          <w:rFonts w:ascii="Arial" w:hAnsi="Arial" w:cs="Arial"/>
          <w:i/>
          <w:iCs/>
          <w:color w:val="000000"/>
          <w:sz w:val="22"/>
          <w:szCs w:val="22"/>
        </w:rPr>
        <w:t>ClilG</w:t>
      </w:r>
      <w:proofErr w:type="spellEnd"/>
      <w:r>
        <w:rPr>
          <w:rFonts w:ascii="Arial" w:hAnsi="Arial" w:cs="Arial"/>
          <w:i/>
          <w:iCs/>
          <w:color w:val="000000"/>
          <w:sz w:val="22"/>
          <w:szCs w:val="22"/>
        </w:rPr>
        <w:t xml:space="preserve"> - Mit </w:t>
      </w:r>
      <w:proofErr w:type="spellStart"/>
      <w:r>
        <w:rPr>
          <w:rFonts w:ascii="Arial" w:hAnsi="Arial" w:cs="Arial"/>
          <w:i/>
          <w:iCs/>
          <w:color w:val="000000"/>
          <w:sz w:val="22"/>
          <w:szCs w:val="22"/>
        </w:rPr>
        <w:t>Deutsch</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lernen</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Unterrichtsprojekte</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für</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die</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Grundschule</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und</w:t>
      </w:r>
      <w:proofErr w:type="spellEnd"/>
      <w:r>
        <w:rPr>
          <w:rFonts w:ascii="Arial" w:hAnsi="Arial" w:cs="Arial"/>
          <w:i/>
          <w:iCs/>
          <w:color w:val="000000"/>
          <w:sz w:val="22"/>
          <w:szCs w:val="22"/>
        </w:rPr>
        <w:t xml:space="preserve"> </w:t>
      </w:r>
      <w:proofErr w:type="spellStart"/>
      <w:r>
        <w:rPr>
          <w:rFonts w:ascii="Arial" w:hAnsi="Arial" w:cs="Arial"/>
          <w:i/>
          <w:iCs/>
          <w:color w:val="000000"/>
          <w:sz w:val="22"/>
          <w:szCs w:val="22"/>
        </w:rPr>
        <w:t>Sekundarstufe</w:t>
      </w:r>
      <w:proofErr w:type="spellEnd"/>
      <w:r>
        <w:rPr>
          <w:rFonts w:ascii="Arial" w:hAnsi="Arial" w:cs="Arial"/>
          <w:i/>
          <w:iCs/>
          <w:color w:val="000000"/>
          <w:sz w:val="22"/>
          <w:szCs w:val="22"/>
        </w:rPr>
        <w:t xml:space="preserve"> I</w:t>
      </w:r>
      <w:r>
        <w:rPr>
          <w:rFonts w:ascii="Arial" w:hAnsi="Arial" w:cs="Arial"/>
          <w:color w:val="000000"/>
          <w:sz w:val="22"/>
          <w:szCs w:val="22"/>
        </w:rPr>
        <w:t xml:space="preserve">. </w:t>
      </w:r>
      <w:proofErr w:type="spellStart"/>
      <w:r>
        <w:rPr>
          <w:rFonts w:ascii="Arial" w:hAnsi="Arial" w:cs="Arial"/>
          <w:color w:val="000000"/>
          <w:sz w:val="22"/>
          <w:szCs w:val="22"/>
        </w:rPr>
        <w:t>Hueber</w:t>
      </w:r>
      <w:proofErr w:type="spellEnd"/>
      <w:r>
        <w:rPr>
          <w:rFonts w:ascii="Arial" w:hAnsi="Arial" w:cs="Arial"/>
          <w:color w:val="000000"/>
          <w:sz w:val="22"/>
          <w:szCs w:val="22"/>
        </w:rPr>
        <w:t xml:space="preserve"> </w:t>
      </w:r>
      <w:proofErr w:type="spellStart"/>
      <w:r>
        <w:rPr>
          <w:rFonts w:ascii="Arial" w:hAnsi="Arial" w:cs="Arial"/>
          <w:color w:val="000000"/>
          <w:sz w:val="22"/>
          <w:szCs w:val="22"/>
        </w:rPr>
        <w:t>Verlag</w:t>
      </w:r>
      <w:proofErr w:type="spellEnd"/>
      <w:r>
        <w:rPr>
          <w:rFonts w:ascii="Arial" w:hAnsi="Arial" w:cs="Arial"/>
          <w:color w:val="000000"/>
          <w:sz w:val="22"/>
          <w:szCs w:val="22"/>
        </w:rPr>
        <w:t>.</w:t>
      </w:r>
    </w:p>
    <w:p w:rsidR="00624586" w:rsidRDefault="00624586" w:rsidP="00134FA8">
      <w:pPr>
        <w:pStyle w:val="StandardWeb"/>
        <w:spacing w:before="0" w:beforeAutospacing="0" w:after="160" w:afterAutospacing="0"/>
        <w:jc w:val="both"/>
      </w:pPr>
      <w:proofErr w:type="spellStart"/>
      <w:r>
        <w:rPr>
          <w:rFonts w:ascii="Arial" w:hAnsi="Arial" w:cs="Arial"/>
          <w:color w:val="000000"/>
          <w:sz w:val="22"/>
          <w:szCs w:val="22"/>
        </w:rPr>
        <w:t>Wolf</w:t>
      </w:r>
      <w:proofErr w:type="spellEnd"/>
      <w:r>
        <w:rPr>
          <w:rFonts w:ascii="Arial" w:hAnsi="Arial" w:cs="Arial"/>
          <w:color w:val="000000"/>
          <w:sz w:val="22"/>
          <w:szCs w:val="22"/>
        </w:rPr>
        <w:t xml:space="preserve">, </w:t>
      </w:r>
      <w:proofErr w:type="spellStart"/>
      <w:r>
        <w:rPr>
          <w:rFonts w:ascii="Arial" w:hAnsi="Arial" w:cs="Arial"/>
          <w:color w:val="000000"/>
          <w:sz w:val="22"/>
          <w:szCs w:val="22"/>
        </w:rPr>
        <w:t>Dieter</w:t>
      </w:r>
      <w:proofErr w:type="spellEnd"/>
      <w:r>
        <w:rPr>
          <w:rFonts w:ascii="Arial" w:hAnsi="Arial" w:cs="Arial"/>
          <w:color w:val="000000"/>
          <w:sz w:val="22"/>
          <w:szCs w:val="22"/>
        </w:rPr>
        <w:t xml:space="preserve"> (2007),  </w:t>
      </w:r>
      <w:proofErr w:type="spellStart"/>
      <w:r>
        <w:rPr>
          <w:rFonts w:ascii="Arial" w:hAnsi="Arial" w:cs="Arial"/>
          <w:color w:val="000000"/>
          <w:sz w:val="22"/>
          <w:szCs w:val="22"/>
        </w:rPr>
        <w:t>Einige</w:t>
      </w:r>
      <w:proofErr w:type="spellEnd"/>
      <w:r>
        <w:rPr>
          <w:rFonts w:ascii="Arial" w:hAnsi="Arial" w:cs="Arial"/>
          <w:color w:val="000000"/>
          <w:sz w:val="22"/>
          <w:szCs w:val="22"/>
        </w:rPr>
        <w:t xml:space="preserve"> </w:t>
      </w:r>
      <w:proofErr w:type="spellStart"/>
      <w:r>
        <w:rPr>
          <w:rFonts w:ascii="Arial" w:hAnsi="Arial" w:cs="Arial"/>
          <w:color w:val="000000"/>
          <w:sz w:val="22"/>
          <w:szCs w:val="22"/>
        </w:rPr>
        <w:t>didaktisch-methodische</w:t>
      </w:r>
      <w:proofErr w:type="spellEnd"/>
      <w:r>
        <w:rPr>
          <w:rFonts w:ascii="Arial" w:hAnsi="Arial" w:cs="Arial"/>
          <w:color w:val="000000"/>
          <w:sz w:val="22"/>
          <w:szCs w:val="22"/>
        </w:rPr>
        <w:t xml:space="preserve"> </w:t>
      </w:r>
      <w:proofErr w:type="spellStart"/>
      <w:r>
        <w:rPr>
          <w:rFonts w:ascii="Arial" w:hAnsi="Arial" w:cs="Arial"/>
          <w:color w:val="000000"/>
          <w:sz w:val="22"/>
          <w:szCs w:val="22"/>
        </w:rPr>
        <w:t>Prinzipien</w:t>
      </w:r>
      <w:proofErr w:type="spellEnd"/>
      <w:r>
        <w:rPr>
          <w:rFonts w:ascii="Arial" w:hAnsi="Arial" w:cs="Arial"/>
          <w:color w:val="000000"/>
          <w:sz w:val="22"/>
          <w:szCs w:val="22"/>
        </w:rPr>
        <w:t xml:space="preserve"> von CLIL,</w:t>
      </w:r>
      <w:hyperlink r:id="rId5" w:history="1">
        <w:r>
          <w:rPr>
            <w:rStyle w:val="Hiperveza"/>
            <w:rFonts w:ascii="Arial" w:hAnsi="Arial" w:cs="Arial"/>
            <w:color w:val="000000"/>
            <w:sz w:val="22"/>
            <w:szCs w:val="22"/>
          </w:rPr>
          <w:t xml:space="preserve"> </w:t>
        </w:r>
        <w:r>
          <w:rPr>
            <w:rStyle w:val="Hiperveza"/>
            <w:rFonts w:ascii="Arial" w:hAnsi="Arial" w:cs="Arial"/>
            <w:color w:val="1155CC"/>
            <w:sz w:val="22"/>
            <w:szCs w:val="22"/>
          </w:rPr>
          <w:t>https://www.goethe.de/ins/lt/de/spr/unt/cll/mag/20559035.html</w:t>
        </w:r>
      </w:hyperlink>
      <w:r>
        <w:rPr>
          <w:rFonts w:ascii="Arial" w:hAnsi="Arial" w:cs="Arial"/>
          <w:color w:val="000000"/>
          <w:sz w:val="22"/>
          <w:szCs w:val="22"/>
        </w:rPr>
        <w:t xml:space="preserve">, </w:t>
      </w:r>
      <w:proofErr w:type="spellStart"/>
      <w:r>
        <w:rPr>
          <w:rFonts w:ascii="Arial" w:hAnsi="Arial" w:cs="Arial"/>
          <w:color w:val="000000"/>
          <w:sz w:val="22"/>
          <w:szCs w:val="22"/>
        </w:rPr>
        <w:t>pristupljeno</w:t>
      </w:r>
      <w:proofErr w:type="spellEnd"/>
      <w:r>
        <w:rPr>
          <w:rFonts w:ascii="Arial" w:hAnsi="Arial" w:cs="Arial"/>
          <w:color w:val="000000"/>
          <w:sz w:val="22"/>
          <w:szCs w:val="22"/>
        </w:rPr>
        <w:t xml:space="preserve"> 1.6.2026.</w:t>
      </w:r>
    </w:p>
    <w:p w:rsidR="00624586" w:rsidRDefault="00624586" w:rsidP="00134FA8">
      <w:pPr>
        <w:pStyle w:val="StandardWeb"/>
        <w:spacing w:before="0" w:beforeAutospacing="0" w:after="160" w:afterAutospacing="0"/>
        <w:jc w:val="both"/>
      </w:pPr>
      <w:r>
        <w:rPr>
          <w:rFonts w:ascii="Arial" w:hAnsi="Arial" w:cs="Arial"/>
          <w:color w:val="000000"/>
          <w:sz w:val="22"/>
          <w:szCs w:val="22"/>
        </w:rPr>
        <w:t> </w:t>
      </w:r>
    </w:p>
    <w:p w:rsidR="007B6F6A" w:rsidRDefault="007B6F6A" w:rsidP="00134FA8">
      <w:pPr>
        <w:jc w:val="both"/>
      </w:pPr>
    </w:p>
    <w:sectPr w:rsidR="007B6F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357"/>
    <w:rsid w:val="00134FA8"/>
    <w:rsid w:val="00624586"/>
    <w:rsid w:val="00634D25"/>
    <w:rsid w:val="007B6F6A"/>
    <w:rsid w:val="00DC63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108C"/>
  <w15:chartTrackingRefBased/>
  <w15:docId w15:val="{3D40CD61-52DA-40DD-804C-58E79ED5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62458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6245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6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ethe.de/ins/lt/de/spr/unt/cll/mag/20559035.html" TargetMode="External"/><Relationship Id="rId4" Type="http://schemas.openxmlformats.org/officeDocument/2006/relationships/hyperlink" Target="https://hrcak.srce.hr/323942.%20Citirano%2026.05.2026"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1271</Words>
  <Characters>7245</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Varga</dc:creator>
  <cp:keywords/>
  <dc:description/>
  <cp:lastModifiedBy>Luka Varga</cp:lastModifiedBy>
  <cp:revision>5</cp:revision>
  <dcterms:created xsi:type="dcterms:W3CDTF">2026-06-10T20:56:00Z</dcterms:created>
  <dcterms:modified xsi:type="dcterms:W3CDTF">2026-06-12T11:55:00Z</dcterms:modified>
</cp:coreProperties>
</file>